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FFE" w:rsidRPr="0070631B" w:rsidRDefault="0070631B" w:rsidP="0070631B">
      <w:pPr>
        <w:spacing w:line="360" w:lineRule="auto"/>
        <w:jc w:val="center"/>
        <w:rPr>
          <w:rFonts w:hint="eastAsia"/>
          <w:b/>
          <w:sz w:val="24"/>
          <w:szCs w:val="24"/>
        </w:rPr>
      </w:pPr>
      <w:bookmarkStart w:id="0" w:name="_GoBack"/>
      <w:r w:rsidRPr="0070631B">
        <w:rPr>
          <w:rFonts w:hint="eastAsia"/>
          <w:b/>
          <w:sz w:val="24"/>
          <w:szCs w:val="24"/>
        </w:rPr>
        <w:t xml:space="preserve">10. </w:t>
      </w:r>
      <w:r w:rsidRPr="0070631B">
        <w:rPr>
          <w:rFonts w:hint="eastAsia"/>
          <w:b/>
          <w:sz w:val="24"/>
          <w:szCs w:val="24"/>
        </w:rPr>
        <w:t>“脂代谢可塑性调控的分子与细胞机制”重大项目指南</w:t>
      </w:r>
    </w:p>
    <w:bookmarkEnd w:id="0"/>
    <w:p w:rsidR="0070631B" w:rsidRPr="0070631B" w:rsidRDefault="0070631B" w:rsidP="0070631B">
      <w:pPr>
        <w:spacing w:line="360" w:lineRule="auto"/>
        <w:rPr>
          <w:rFonts w:hint="eastAsia"/>
          <w:sz w:val="24"/>
          <w:szCs w:val="24"/>
        </w:rPr>
      </w:pPr>
    </w:p>
    <w:p w:rsidR="0070631B" w:rsidRPr="0070631B" w:rsidRDefault="0070631B" w:rsidP="0070631B">
      <w:pPr>
        <w:spacing w:line="360" w:lineRule="auto"/>
        <w:ind w:firstLineChars="200" w:firstLine="480"/>
        <w:rPr>
          <w:rFonts w:hint="eastAsia"/>
          <w:sz w:val="24"/>
          <w:szCs w:val="24"/>
        </w:rPr>
      </w:pPr>
      <w:r w:rsidRPr="0070631B">
        <w:rPr>
          <w:rFonts w:hint="eastAsia"/>
          <w:sz w:val="24"/>
          <w:szCs w:val="24"/>
        </w:rPr>
        <w:t>机体通过多组织器官的协同作用，调控脂质的摄取、合成、转运、分解与输出等多个过程，以维持脂代谢稳态。脂代谢研究领域的一个重要问题是生物体在细胞、组织和整体水平如何感受营养、信号、应激以及活性代谢中间产物和衍生物的动态变化，进而对脂质代谢网络实施选择性地开启或关闭、对脂质代谢的关键节点和限速酶进行前馈或反馈调控的脂质代谢可塑性调控（</w:t>
      </w:r>
      <w:r w:rsidRPr="0070631B">
        <w:rPr>
          <w:rFonts w:hint="eastAsia"/>
          <w:sz w:val="24"/>
          <w:szCs w:val="24"/>
        </w:rPr>
        <w:t>Lipid metabolic plasticity</w:t>
      </w:r>
      <w:r w:rsidRPr="0070631B">
        <w:rPr>
          <w:rFonts w:hint="eastAsia"/>
          <w:sz w:val="24"/>
          <w:szCs w:val="24"/>
        </w:rPr>
        <w:t>）。脂质代谢可塑性是机体维持脂代谢平衡的关键环节，其失衡可导致肥胖、脂肪肝、高脂血症、动脉粥样硬化等多种代谢性疾病。脂代谢可塑性的调控错综复杂，包含了细胞对营养、信号分子和应激的感应通路、脂质代谢网络的动态变化；重要细胞器如脂滴、内质网、线粒体、溶酶体和细胞核等对脂质代谢可塑性的感应、修复和重塑；重要代谢器官如脂肪组织、肝脏与肌肉间的对话和相互作用等多个方面。随着最新动物模型、细胞成像与谱系追踪等技术的发展和应用，在分子、细胞与生理学水平上对脂代谢可塑性的调控机制展开深入的研究，更高层次上地取得开拓性发现和新突破。</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t xml:space="preserve">　　一、科学目标</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t xml:space="preserve">　　本课题的总体目标是揭示脂代谢可塑性调控的分子与细胞基础，主要包括阐明重要代谢组织在脂代谢可塑性重构中的内在规律及其与环境的相互作用，解析不同生理条件、应激状态和病理条件下，不同器官和器官脂代谢可塑性改变的分子和细胞机制，深入探讨脂代谢可塑性调控在维持机体脂代谢稳态中的生理学意义，为脂代谢紊乱疾病的预防和治疗提供理论基础。</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t xml:space="preserve">　　二、研究内容</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t xml:space="preserve">　　（一）脂代谢可塑性感应的分子机制及其功能。</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t xml:space="preserve">　　（二）</w:t>
      </w:r>
      <w:proofErr w:type="gramStart"/>
      <w:r w:rsidRPr="0070631B">
        <w:rPr>
          <w:rFonts w:hint="eastAsia"/>
          <w:sz w:val="24"/>
          <w:szCs w:val="24"/>
        </w:rPr>
        <w:t>介导脂</w:t>
      </w:r>
      <w:proofErr w:type="gramEnd"/>
      <w:r w:rsidRPr="0070631B">
        <w:rPr>
          <w:rFonts w:hint="eastAsia"/>
          <w:sz w:val="24"/>
          <w:szCs w:val="24"/>
        </w:rPr>
        <w:t>代谢可塑性的重要细胞器及其调控机制。</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lastRenderedPageBreak/>
        <w:t xml:space="preserve">　　（三）新型内分泌因子对脂代谢可塑性的影响及作用机制。</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t xml:space="preserve">　　三、申请注意事项</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t xml:space="preserve">　　（一）申请书的附注说明选择“脂代谢可塑性调控的分子与细胞机制”（以上选择不准确或未选择的项目申请不予受理）。</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t xml:space="preserve">　　（二）本项目要求项目申请人围绕核心科学问题，按三个研究内容设置</w:t>
      </w:r>
      <w:r w:rsidRPr="0070631B">
        <w:rPr>
          <w:rFonts w:hint="eastAsia"/>
          <w:sz w:val="24"/>
          <w:szCs w:val="24"/>
        </w:rPr>
        <w:t>3</w:t>
      </w:r>
      <w:r w:rsidRPr="0070631B">
        <w:rPr>
          <w:rFonts w:hint="eastAsia"/>
          <w:sz w:val="24"/>
          <w:szCs w:val="24"/>
        </w:rPr>
        <w:t>个课题，</w:t>
      </w:r>
      <w:r w:rsidRPr="0070631B">
        <w:rPr>
          <w:rFonts w:hint="eastAsia"/>
          <w:sz w:val="24"/>
          <w:szCs w:val="24"/>
        </w:rPr>
        <w:t>3</w:t>
      </w:r>
      <w:r w:rsidRPr="0070631B">
        <w:rPr>
          <w:rFonts w:hint="eastAsia"/>
          <w:sz w:val="24"/>
          <w:szCs w:val="24"/>
        </w:rPr>
        <w:t>个课题要紧紧围绕“脂代谢可塑性调控的分子与细胞机制”这一主题开展深入、系统研究，课题间要有紧密和有机联系，研究内容互补，充分体现合作与材料、数据的共享。</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t xml:space="preserve">　　（三）项目依托单位和合作研究单位数量合计不得超过</w:t>
      </w:r>
      <w:r w:rsidRPr="0070631B">
        <w:rPr>
          <w:rFonts w:hint="eastAsia"/>
          <w:sz w:val="24"/>
          <w:szCs w:val="24"/>
        </w:rPr>
        <w:t>3</w:t>
      </w:r>
      <w:r w:rsidRPr="0070631B">
        <w:rPr>
          <w:rFonts w:hint="eastAsia"/>
          <w:sz w:val="24"/>
          <w:szCs w:val="24"/>
        </w:rPr>
        <w:t>个。</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t xml:space="preserve">　　（四）申请人申请的直接费用预算不得超过</w:t>
      </w:r>
      <w:r w:rsidRPr="0070631B">
        <w:rPr>
          <w:rFonts w:hint="eastAsia"/>
          <w:sz w:val="24"/>
          <w:szCs w:val="24"/>
        </w:rPr>
        <w:t>1300</w:t>
      </w:r>
      <w:r w:rsidRPr="0070631B">
        <w:rPr>
          <w:rFonts w:hint="eastAsia"/>
          <w:sz w:val="24"/>
          <w:szCs w:val="24"/>
        </w:rPr>
        <w:t>万元</w:t>
      </w:r>
      <w:r w:rsidRPr="0070631B">
        <w:rPr>
          <w:rFonts w:hint="eastAsia"/>
          <w:sz w:val="24"/>
          <w:szCs w:val="24"/>
        </w:rPr>
        <w:t>/</w:t>
      </w:r>
      <w:r w:rsidRPr="0070631B">
        <w:rPr>
          <w:rFonts w:hint="eastAsia"/>
          <w:sz w:val="24"/>
          <w:szCs w:val="24"/>
        </w:rPr>
        <w:t>项（含</w:t>
      </w:r>
      <w:r w:rsidRPr="0070631B">
        <w:rPr>
          <w:rFonts w:hint="eastAsia"/>
          <w:sz w:val="24"/>
          <w:szCs w:val="24"/>
        </w:rPr>
        <w:t>1300</w:t>
      </w:r>
      <w:r w:rsidRPr="0070631B">
        <w:rPr>
          <w:rFonts w:hint="eastAsia"/>
          <w:sz w:val="24"/>
          <w:szCs w:val="24"/>
        </w:rPr>
        <w:t>万元</w:t>
      </w:r>
      <w:r w:rsidRPr="0070631B">
        <w:rPr>
          <w:rFonts w:hint="eastAsia"/>
          <w:sz w:val="24"/>
          <w:szCs w:val="24"/>
        </w:rPr>
        <w:t>/</w:t>
      </w:r>
      <w:r w:rsidRPr="0070631B">
        <w:rPr>
          <w:rFonts w:hint="eastAsia"/>
          <w:sz w:val="24"/>
          <w:szCs w:val="24"/>
        </w:rPr>
        <w:t>项）。</w:t>
      </w:r>
    </w:p>
    <w:p w:rsidR="0070631B" w:rsidRPr="0070631B" w:rsidRDefault="0070631B" w:rsidP="0070631B">
      <w:pPr>
        <w:spacing w:line="360" w:lineRule="auto"/>
        <w:rPr>
          <w:sz w:val="24"/>
          <w:szCs w:val="24"/>
        </w:rPr>
      </w:pPr>
    </w:p>
    <w:p w:rsidR="0070631B" w:rsidRPr="0070631B" w:rsidRDefault="0070631B" w:rsidP="0070631B">
      <w:pPr>
        <w:spacing w:line="360" w:lineRule="auto"/>
        <w:rPr>
          <w:rFonts w:hint="eastAsia"/>
          <w:sz w:val="24"/>
          <w:szCs w:val="24"/>
        </w:rPr>
      </w:pPr>
      <w:r w:rsidRPr="0070631B">
        <w:rPr>
          <w:rFonts w:hint="eastAsia"/>
          <w:sz w:val="24"/>
          <w:szCs w:val="24"/>
        </w:rPr>
        <w:t xml:space="preserve">　　（五）本项目由生命科学部负责受理。</w:t>
      </w:r>
    </w:p>
    <w:sectPr w:rsidR="0070631B" w:rsidRPr="007063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54"/>
    <w:rsid w:val="0070631B"/>
    <w:rsid w:val="00826D54"/>
    <w:rsid w:val="00BE2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2016-07-11T03:23:00Z</dcterms:created>
  <dcterms:modified xsi:type="dcterms:W3CDTF">2016-07-11T03:24:00Z</dcterms:modified>
</cp:coreProperties>
</file>